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BB8" w:rsidRPr="00B660EC" w:rsidRDefault="001E5BB8" w:rsidP="001E5BB8">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rsidR="001E5BB8" w:rsidRPr="00ED628A" w:rsidRDefault="001E5BB8" w:rsidP="001E5BB8">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rsidR="001E5BB8" w:rsidRPr="00ED628A" w:rsidRDefault="001E5BB8" w:rsidP="001E5BB8">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rsidR="001E5BB8" w:rsidRPr="00ED628A" w:rsidRDefault="001E5BB8" w:rsidP="001E5BB8">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rsidR="001E5BB8" w:rsidRPr="00ED628A" w:rsidRDefault="001E5BB8" w:rsidP="001E5BB8">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rsidR="001E5BB8" w:rsidRPr="00ED628A" w:rsidRDefault="001E5BB8" w:rsidP="001E5BB8">
      <w:pPr>
        <w:spacing w:after="120"/>
        <w:ind w:left="374" w:hanging="431"/>
        <w:jc w:val="both"/>
        <w:rPr>
          <w:rFonts w:ascii="Times New Roman" w:hAnsi="Times New Roman"/>
          <w:sz w:val="22"/>
          <w:szCs w:val="22"/>
          <w:lang w:eastAsia="cs-CZ"/>
        </w:rPr>
      </w:pPr>
    </w:p>
    <w:p w:rsidR="001E5BB8" w:rsidRPr="00ED628A" w:rsidRDefault="001E5BB8" w:rsidP="001E5BB8">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rsidR="001E5BB8" w:rsidRDefault="001E5BB8" w:rsidP="001E5BB8">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rsidR="001E5BB8" w:rsidRPr="00ED628A" w:rsidRDefault="001E5BB8" w:rsidP="001E5BB8">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rsidR="001E5BB8" w:rsidRPr="00ED628A" w:rsidRDefault="001E5BB8" w:rsidP="001E5BB8">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1E5BB8" w:rsidRPr="00ED628A" w:rsidRDefault="001E5BB8" w:rsidP="001E5BB8">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w:t>
      </w:r>
      <w:proofErr w:type="spellStart"/>
      <w:r>
        <w:rPr>
          <w:rFonts w:ascii="Times New Roman" w:hAnsi="Times New Roman"/>
          <w:sz w:val="22"/>
          <w:szCs w:val="22"/>
          <w:lang w:eastAsia="cs-CZ"/>
        </w:rPr>
        <w:t>Uchaľ</w:t>
      </w:r>
      <w:proofErr w:type="spellEnd"/>
      <w:r>
        <w:rPr>
          <w:rFonts w:ascii="Times New Roman" w:hAnsi="Times New Roman"/>
          <w:sz w:val="22"/>
          <w:szCs w:val="22"/>
          <w:lang w:eastAsia="cs-CZ"/>
        </w:rPr>
        <w:t xml:space="preserve"> </w:t>
      </w:r>
    </w:p>
    <w:p w:rsidR="001E5BB8" w:rsidRPr="00ED628A" w:rsidRDefault="001E5BB8" w:rsidP="001E5BB8">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1E5BB8" w:rsidRPr="00ED628A" w:rsidRDefault="001E5BB8" w:rsidP="001E5BB8">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rsidR="001E5BB8" w:rsidRPr="0034095C" w:rsidRDefault="001E5BB8" w:rsidP="001E5BB8">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rsidR="001E5BB8" w:rsidRPr="00104CAA" w:rsidRDefault="001E5BB8" w:rsidP="001E5BB8">
      <w:pPr>
        <w:spacing w:after="120"/>
        <w:ind w:left="374" w:firstLine="52"/>
        <w:jc w:val="both"/>
        <w:rPr>
          <w:rFonts w:ascii="Times New Roman" w:hAnsi="Times New Roman"/>
          <w:sz w:val="22"/>
          <w:szCs w:val="22"/>
          <w:lang w:eastAsia="cs-CZ"/>
        </w:rPr>
      </w:pPr>
    </w:p>
    <w:p w:rsidR="001E5BB8" w:rsidRPr="00104CAA" w:rsidRDefault="001E5BB8" w:rsidP="001E5BB8">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rsidR="001E5BB8" w:rsidRPr="00104CAA" w:rsidRDefault="001E5BB8" w:rsidP="001E5BB8">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 xml:space="preserve">       </w:t>
      </w:r>
      <w:r>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rsidR="001E5BB8" w:rsidRPr="00104CAA" w:rsidRDefault="001E5BB8" w:rsidP="001E5BB8">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rsidR="001E5BB8" w:rsidRPr="00104CAA" w:rsidRDefault="001E5BB8" w:rsidP="001E5BB8">
      <w:pPr>
        <w:spacing w:after="120"/>
        <w:ind w:left="374" w:firstLine="52"/>
        <w:jc w:val="both"/>
        <w:rPr>
          <w:rFonts w:ascii="Times New Roman" w:hAnsi="Times New Roman"/>
          <w:sz w:val="22"/>
          <w:szCs w:val="22"/>
          <w:lang w:eastAsia="cs-CZ"/>
        </w:rPr>
      </w:pPr>
    </w:p>
    <w:p w:rsidR="001E5BB8" w:rsidRPr="00104CAA" w:rsidRDefault="001E5BB8" w:rsidP="001E5BB8">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rsidR="001E5BB8" w:rsidRPr="00104CAA" w:rsidRDefault="001E5BB8" w:rsidP="001E5BB8">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rsidR="001E5BB8" w:rsidRPr="00ED628A" w:rsidRDefault="001E5BB8" w:rsidP="001E5BB8">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rsidR="001E5BB8" w:rsidRPr="00ED628A" w:rsidRDefault="001E5BB8" w:rsidP="001E5BB8">
      <w:pPr>
        <w:spacing w:after="120"/>
        <w:ind w:left="374" w:firstLine="52"/>
        <w:jc w:val="both"/>
        <w:rPr>
          <w:rFonts w:ascii="Times New Roman" w:hAnsi="Times New Roman"/>
          <w:sz w:val="22"/>
          <w:szCs w:val="22"/>
          <w:lang w:eastAsia="cs-CZ"/>
        </w:rPr>
      </w:pPr>
    </w:p>
    <w:p w:rsidR="001E5BB8" w:rsidRPr="00ED628A" w:rsidRDefault="001E5BB8" w:rsidP="001E5BB8">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rsidR="001E5BB8" w:rsidRPr="00FE63EC" w:rsidRDefault="001E5BB8" w:rsidP="001E5BB8">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rsidR="001E5BB8" w:rsidRPr="00FE63EC" w:rsidRDefault="001E5BB8" w:rsidP="001E5BB8">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1E5BB8" w:rsidRPr="00ED628A" w:rsidRDefault="001E5BB8" w:rsidP="001E5BB8">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rsidR="001E5BB8" w:rsidRPr="00ED628A" w:rsidRDefault="001E5BB8" w:rsidP="001E5BB8">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rsidR="001E5BB8" w:rsidRDefault="001E5BB8" w:rsidP="001E5BB8">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rsidR="001E5BB8" w:rsidRDefault="001E5BB8" w:rsidP="001E5BB8">
      <w:pPr>
        <w:spacing w:after="120"/>
        <w:ind w:left="374" w:hanging="431"/>
        <w:jc w:val="center"/>
        <w:rPr>
          <w:rFonts w:ascii="Times New Roman" w:hAnsi="Times New Roman"/>
          <w:b/>
          <w:sz w:val="22"/>
          <w:szCs w:val="22"/>
          <w:lang w:eastAsia="cs-CZ"/>
        </w:rPr>
      </w:pPr>
    </w:p>
    <w:p w:rsidR="001E5BB8" w:rsidRDefault="001E5BB8" w:rsidP="001E5BB8">
      <w:pPr>
        <w:spacing w:after="120"/>
        <w:ind w:left="374" w:hanging="431"/>
        <w:jc w:val="center"/>
        <w:rPr>
          <w:rFonts w:ascii="Times New Roman" w:hAnsi="Times New Roman"/>
          <w:b/>
          <w:sz w:val="22"/>
          <w:szCs w:val="22"/>
          <w:lang w:eastAsia="cs-CZ"/>
        </w:rPr>
      </w:pPr>
    </w:p>
    <w:p w:rsidR="001E5BB8" w:rsidRDefault="001E5BB8" w:rsidP="001E5BB8">
      <w:pPr>
        <w:spacing w:after="120"/>
        <w:ind w:left="374" w:hanging="431"/>
        <w:jc w:val="center"/>
        <w:rPr>
          <w:rFonts w:ascii="Times New Roman" w:hAnsi="Times New Roman"/>
          <w:b/>
          <w:sz w:val="22"/>
          <w:szCs w:val="22"/>
          <w:lang w:eastAsia="cs-CZ"/>
        </w:rPr>
      </w:pPr>
    </w:p>
    <w:p w:rsidR="001E5BB8" w:rsidRPr="00B660EC" w:rsidRDefault="001E5BB8" w:rsidP="001E5BB8">
      <w:pPr>
        <w:spacing w:after="120"/>
        <w:ind w:left="374" w:hanging="431"/>
        <w:jc w:val="center"/>
        <w:rPr>
          <w:rFonts w:ascii="Times New Roman" w:hAnsi="Times New Roman"/>
          <w:b/>
          <w:sz w:val="22"/>
          <w:szCs w:val="22"/>
          <w:lang w:eastAsia="cs-CZ"/>
        </w:rPr>
      </w:pPr>
      <w:bookmarkStart w:id="2" w:name="_GoBack"/>
      <w:bookmarkEnd w:id="2"/>
      <w:r w:rsidRPr="00ED628A">
        <w:rPr>
          <w:rFonts w:ascii="Times New Roman" w:hAnsi="Times New Roman"/>
          <w:b/>
          <w:sz w:val="22"/>
          <w:szCs w:val="22"/>
          <w:lang w:eastAsia="cs-CZ"/>
        </w:rPr>
        <w:lastRenderedPageBreak/>
        <w:t>PREAMBULA</w:t>
      </w:r>
    </w:p>
    <w:p w:rsidR="001E5BB8" w:rsidRPr="00ED628A" w:rsidRDefault="001E5BB8" w:rsidP="001E5BB8">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Podkladom pre uzavretie zmluvy je výsledok verejného obstarávania v súlade so zákonom č. 343/2015 Z. z. o verejnom obstarávaní a o zmene a doplnení niektorých zákonov (ďalej len „Zákon o verejnom 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 4/2020</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rsidR="001E5BB8" w:rsidRPr="00ED628A" w:rsidRDefault="001E5BB8" w:rsidP="001E5BB8">
      <w:pPr>
        <w:spacing w:after="120"/>
        <w:ind w:left="426"/>
        <w:jc w:val="both"/>
        <w:rPr>
          <w:rFonts w:ascii="Times New Roman" w:hAnsi="Times New Roman"/>
          <w:sz w:val="22"/>
          <w:szCs w:val="22"/>
          <w:lang w:eastAsia="cs-CZ"/>
        </w:rPr>
      </w:pPr>
    </w:p>
    <w:p w:rsidR="001E5BB8" w:rsidRDefault="001E5BB8" w:rsidP="001E5BB8">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rsidR="001E5BB8" w:rsidRPr="00ED628A" w:rsidRDefault="001E5BB8" w:rsidP="001E5BB8">
      <w:pPr>
        <w:spacing w:after="120"/>
        <w:ind w:left="374"/>
        <w:jc w:val="both"/>
        <w:rPr>
          <w:rFonts w:ascii="Times New Roman" w:hAnsi="Times New Roman"/>
          <w:sz w:val="22"/>
          <w:szCs w:val="22"/>
          <w:lang w:eastAsia="cs-CZ"/>
        </w:rPr>
      </w:pP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rsidR="001E5BB8" w:rsidRPr="00ED628A" w:rsidRDefault="001E5BB8" w:rsidP="001E5BB8">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rsidR="001E5BB8" w:rsidRDefault="001E5BB8" w:rsidP="001E5BB8">
      <w:pPr>
        <w:numPr>
          <w:ilvl w:val="1"/>
          <w:numId w:val="1"/>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rsidR="001E5BB8" w:rsidRPr="00366AC7" w:rsidRDefault="001E5BB8" w:rsidP="001E5BB8">
      <w:pPr>
        <w:numPr>
          <w:ilvl w:val="1"/>
          <w:numId w:val="1"/>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rsidR="001E5BB8" w:rsidRPr="00B3456E" w:rsidRDefault="001E5BB8" w:rsidP="001E5BB8">
      <w:pPr>
        <w:numPr>
          <w:ilvl w:val="1"/>
          <w:numId w:val="1"/>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rsidR="001E5BB8" w:rsidRPr="00ED628A" w:rsidRDefault="001E5BB8" w:rsidP="001E5BB8">
      <w:pPr>
        <w:numPr>
          <w:ilvl w:val="1"/>
          <w:numId w:val="1"/>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rsidR="001E5BB8" w:rsidRPr="00ED628A" w:rsidRDefault="001E5BB8" w:rsidP="001E5BB8">
      <w:pPr>
        <w:spacing w:after="120"/>
        <w:ind w:left="374" w:hanging="431"/>
        <w:jc w:val="both"/>
        <w:rPr>
          <w:rFonts w:ascii="Times New Roman" w:hAnsi="Times New Roman"/>
          <w:sz w:val="22"/>
          <w:szCs w:val="22"/>
          <w:lang w:eastAsia="cs-CZ"/>
        </w:rPr>
      </w:pPr>
    </w:p>
    <w:p w:rsidR="001E5BB8" w:rsidRPr="00ED628A" w:rsidRDefault="001E5BB8" w:rsidP="001E5BB8">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rsidR="001E5BB8" w:rsidRPr="00ED628A" w:rsidRDefault="001E5BB8" w:rsidP="001E5BB8">
      <w:pPr>
        <w:numPr>
          <w:ilvl w:val="0"/>
          <w:numId w:val="2"/>
        </w:numPr>
        <w:spacing w:after="120"/>
        <w:jc w:val="both"/>
        <w:rPr>
          <w:rFonts w:ascii="Times New Roman" w:hAnsi="Times New Roman"/>
          <w:vanish/>
          <w:sz w:val="22"/>
          <w:szCs w:val="22"/>
          <w:lang w:eastAsia="cs-CZ"/>
        </w:rPr>
      </w:pPr>
    </w:p>
    <w:p w:rsidR="001E5BB8" w:rsidRPr="00ED628A" w:rsidRDefault="001E5BB8" w:rsidP="001E5BB8">
      <w:pPr>
        <w:numPr>
          <w:ilvl w:val="0"/>
          <w:numId w:val="2"/>
        </w:numPr>
        <w:spacing w:after="120"/>
        <w:jc w:val="both"/>
        <w:rPr>
          <w:rFonts w:ascii="Times New Roman" w:hAnsi="Times New Roman"/>
          <w:vanish/>
          <w:sz w:val="22"/>
          <w:szCs w:val="22"/>
          <w:lang w:eastAsia="cs-CZ"/>
        </w:rPr>
      </w:pPr>
    </w:p>
    <w:p w:rsidR="001E5BB8" w:rsidRPr="00ED628A" w:rsidRDefault="001E5BB8" w:rsidP="001E5BB8">
      <w:pPr>
        <w:numPr>
          <w:ilvl w:val="1"/>
          <w:numId w:val="2"/>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rsidR="001E5BB8" w:rsidRPr="00ED628A" w:rsidRDefault="001E5BB8" w:rsidP="001E5BB8">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rsidR="001E5BB8" w:rsidRPr="00ED628A" w:rsidRDefault="001E5BB8" w:rsidP="001E5BB8">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rsidR="001E5BB8" w:rsidRPr="00D956A8" w:rsidRDefault="001E5BB8" w:rsidP="001E5BB8">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rsidR="001E5BB8" w:rsidRDefault="001E5BB8" w:rsidP="001E5BB8">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rsidR="001E5BB8" w:rsidRPr="008468C1" w:rsidRDefault="001E5BB8" w:rsidP="001E5BB8">
      <w:pPr>
        <w:numPr>
          <w:ilvl w:val="1"/>
          <w:numId w:val="2"/>
        </w:numPr>
        <w:spacing w:after="120"/>
        <w:ind w:left="374" w:hanging="431"/>
        <w:jc w:val="both"/>
        <w:rPr>
          <w:rFonts w:ascii="Times New Roman" w:hAnsi="Times New Roman"/>
          <w:sz w:val="24"/>
          <w:szCs w:val="22"/>
          <w:lang w:eastAsia="cs-CZ"/>
        </w:rPr>
      </w:pPr>
      <w:r w:rsidRPr="008468C1">
        <w:rPr>
          <w:rFonts w:ascii="Times New Roman" w:hAnsi="Times New Roman"/>
          <w:sz w:val="22"/>
        </w:rPr>
        <w:lastRenderedPageBreak/>
        <w:t>Akúkoľvek zmenu čísla účtu je predávajúci  povinný oznámiť kupujúcemu  prehlásením s úradne overeným podpisom.</w:t>
      </w:r>
    </w:p>
    <w:p w:rsidR="001E5BB8" w:rsidRPr="00ED628A" w:rsidRDefault="001E5BB8" w:rsidP="001E5BB8">
      <w:pPr>
        <w:spacing w:after="120"/>
        <w:ind w:left="374" w:hanging="431"/>
        <w:jc w:val="center"/>
        <w:rPr>
          <w:rFonts w:ascii="Times New Roman" w:hAnsi="Times New Roman"/>
          <w:sz w:val="22"/>
          <w:szCs w:val="22"/>
          <w:lang w:eastAsia="cs-CZ"/>
        </w:rPr>
      </w:pP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rsidR="001E5BB8" w:rsidRPr="00ED628A" w:rsidRDefault="001E5BB8" w:rsidP="001E5BB8">
      <w:pPr>
        <w:numPr>
          <w:ilvl w:val="0"/>
          <w:numId w:val="3"/>
        </w:numPr>
        <w:spacing w:after="120"/>
        <w:jc w:val="both"/>
        <w:rPr>
          <w:rFonts w:ascii="Times New Roman" w:hAnsi="Times New Roman"/>
          <w:vanish/>
          <w:sz w:val="22"/>
          <w:szCs w:val="22"/>
        </w:rPr>
      </w:pPr>
    </w:p>
    <w:p w:rsidR="001E5BB8" w:rsidRPr="00ED628A" w:rsidRDefault="001E5BB8" w:rsidP="001E5BB8">
      <w:pPr>
        <w:numPr>
          <w:ilvl w:val="0"/>
          <w:numId w:val="3"/>
        </w:numPr>
        <w:spacing w:after="120"/>
        <w:jc w:val="both"/>
        <w:rPr>
          <w:rFonts w:ascii="Times New Roman" w:hAnsi="Times New Roman"/>
          <w:vanish/>
          <w:sz w:val="22"/>
          <w:szCs w:val="22"/>
        </w:rPr>
      </w:pPr>
    </w:p>
    <w:p w:rsidR="001E5BB8" w:rsidRPr="00ED628A" w:rsidRDefault="001E5BB8" w:rsidP="001E5BB8">
      <w:pPr>
        <w:numPr>
          <w:ilvl w:val="0"/>
          <w:numId w:val="3"/>
        </w:numPr>
        <w:spacing w:after="120"/>
        <w:jc w:val="both"/>
        <w:rPr>
          <w:rFonts w:ascii="Times New Roman" w:hAnsi="Times New Roman"/>
          <w:vanish/>
          <w:sz w:val="22"/>
          <w:szCs w:val="22"/>
        </w:rPr>
      </w:pPr>
    </w:p>
    <w:p w:rsidR="001E5BB8" w:rsidRPr="00ED628A" w:rsidRDefault="001E5BB8" w:rsidP="001E5BB8">
      <w:pPr>
        <w:numPr>
          <w:ilvl w:val="1"/>
          <w:numId w:val="3"/>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rsidR="001E5BB8" w:rsidRPr="00ED628A" w:rsidRDefault="001E5BB8" w:rsidP="001E5BB8">
      <w:pPr>
        <w:numPr>
          <w:ilvl w:val="1"/>
          <w:numId w:val="3"/>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357F5B">
        <w:rPr>
          <w:rFonts w:ascii="Times New Roman" w:hAnsi="Times New Roman"/>
          <w:b/>
          <w:sz w:val="22"/>
          <w:szCs w:val="22"/>
          <w:lang w:eastAsia="cs-CZ"/>
        </w:rPr>
        <w:t>do 5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rsidR="001E5BB8" w:rsidRPr="00BC638E" w:rsidRDefault="001E5BB8" w:rsidP="001E5BB8">
      <w:pPr>
        <w:numPr>
          <w:ilvl w:val="1"/>
          <w:numId w:val="3"/>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rsidR="001E5BB8" w:rsidRPr="00ED628A" w:rsidRDefault="001E5BB8" w:rsidP="001E5BB8">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rsidR="001E5BB8" w:rsidRPr="00ED628A" w:rsidRDefault="001E5BB8" w:rsidP="001E5BB8">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rsidR="001E5BB8" w:rsidRPr="00ED628A" w:rsidRDefault="001E5BB8" w:rsidP="001E5BB8">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rsidR="001E5BB8" w:rsidRPr="00ED628A" w:rsidRDefault="001E5BB8" w:rsidP="001E5BB8">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rsidR="001E5BB8" w:rsidRPr="00ED628A" w:rsidRDefault="001E5BB8" w:rsidP="001E5BB8">
      <w:pPr>
        <w:spacing w:after="120"/>
        <w:jc w:val="both"/>
        <w:rPr>
          <w:rFonts w:ascii="Times New Roman" w:hAnsi="Times New Roman"/>
          <w:sz w:val="22"/>
          <w:szCs w:val="22"/>
          <w:lang w:eastAsia="cs-CZ"/>
        </w:rPr>
      </w:pP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rsidR="001E5BB8" w:rsidRPr="00ED628A" w:rsidRDefault="001E5BB8" w:rsidP="001E5BB8">
      <w:pPr>
        <w:numPr>
          <w:ilvl w:val="0"/>
          <w:numId w:val="4"/>
        </w:numPr>
        <w:spacing w:after="120"/>
        <w:jc w:val="both"/>
        <w:rPr>
          <w:rFonts w:ascii="Times New Roman" w:hAnsi="Times New Roman"/>
          <w:vanish/>
          <w:sz w:val="22"/>
          <w:szCs w:val="22"/>
          <w:lang w:eastAsia="cs-CZ"/>
        </w:rPr>
      </w:pPr>
    </w:p>
    <w:p w:rsidR="001E5BB8" w:rsidRPr="00ED628A" w:rsidRDefault="001E5BB8" w:rsidP="001E5BB8">
      <w:pPr>
        <w:numPr>
          <w:ilvl w:val="0"/>
          <w:numId w:val="4"/>
        </w:numPr>
        <w:spacing w:after="120"/>
        <w:jc w:val="both"/>
        <w:rPr>
          <w:rFonts w:ascii="Times New Roman" w:hAnsi="Times New Roman"/>
          <w:vanish/>
          <w:sz w:val="22"/>
          <w:szCs w:val="22"/>
          <w:lang w:eastAsia="cs-CZ"/>
        </w:rPr>
      </w:pPr>
    </w:p>
    <w:p w:rsidR="001E5BB8" w:rsidRPr="00ED628A" w:rsidRDefault="001E5BB8" w:rsidP="001E5BB8">
      <w:pPr>
        <w:numPr>
          <w:ilvl w:val="0"/>
          <w:numId w:val="4"/>
        </w:numPr>
        <w:spacing w:after="120"/>
        <w:jc w:val="both"/>
        <w:rPr>
          <w:rFonts w:ascii="Times New Roman" w:hAnsi="Times New Roman"/>
          <w:vanish/>
          <w:sz w:val="22"/>
          <w:szCs w:val="22"/>
          <w:lang w:eastAsia="cs-CZ"/>
        </w:rPr>
      </w:pPr>
    </w:p>
    <w:p w:rsidR="001E5BB8" w:rsidRPr="00ED628A" w:rsidRDefault="001E5BB8" w:rsidP="001E5BB8">
      <w:pPr>
        <w:numPr>
          <w:ilvl w:val="0"/>
          <w:numId w:val="4"/>
        </w:numPr>
        <w:spacing w:after="120"/>
        <w:jc w:val="both"/>
        <w:rPr>
          <w:rFonts w:ascii="Times New Roman" w:hAnsi="Times New Roman"/>
          <w:vanish/>
          <w:sz w:val="22"/>
          <w:szCs w:val="22"/>
          <w:lang w:eastAsia="cs-CZ"/>
        </w:rPr>
      </w:pPr>
    </w:p>
    <w:p w:rsidR="001E5BB8" w:rsidRDefault="001E5BB8" w:rsidP="001E5BB8">
      <w:pPr>
        <w:numPr>
          <w:ilvl w:val="1"/>
          <w:numId w:val="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rsidR="001E5BB8" w:rsidRPr="00B660EC" w:rsidRDefault="001E5BB8" w:rsidP="001E5BB8">
      <w:pPr>
        <w:spacing w:after="120"/>
        <w:ind w:left="-57"/>
        <w:jc w:val="both"/>
        <w:rPr>
          <w:rFonts w:ascii="Times New Roman" w:hAnsi="Times New Roman"/>
          <w:sz w:val="22"/>
          <w:szCs w:val="22"/>
          <w:lang w:eastAsia="cs-CZ"/>
        </w:rPr>
      </w:pP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rsidR="001E5BB8" w:rsidRPr="00ED628A" w:rsidRDefault="001E5BB8" w:rsidP="001E5BB8">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rsidR="001E5BB8" w:rsidRPr="00ED628A" w:rsidRDefault="001E5BB8" w:rsidP="001E5BB8">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rsidR="001E5BB8" w:rsidRPr="00ED628A" w:rsidRDefault="001E5BB8" w:rsidP="001E5BB8">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rsidR="001E5BB8" w:rsidRPr="00ED628A" w:rsidRDefault="001E5BB8" w:rsidP="001E5BB8">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rsidR="001E5BB8" w:rsidRPr="00ED628A" w:rsidRDefault="001E5BB8" w:rsidP="001E5BB8">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rsidR="001E5BB8" w:rsidRPr="00ED628A" w:rsidRDefault="001E5BB8" w:rsidP="001E5BB8">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 xml:space="preserve">Oznámenie vád – reklamácia, musí obsahovať najmä: </w:t>
      </w:r>
    </w:p>
    <w:p w:rsidR="001E5BB8" w:rsidRPr="00ED628A" w:rsidRDefault="001E5BB8" w:rsidP="001E5BB8">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rsidR="001E5BB8" w:rsidRPr="00ED628A" w:rsidRDefault="001E5BB8" w:rsidP="001E5BB8">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rsidR="001E5BB8" w:rsidRPr="00ED628A" w:rsidRDefault="001E5BB8" w:rsidP="001E5BB8">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rsidR="001E5BB8" w:rsidRPr="00ED628A" w:rsidRDefault="001E5BB8" w:rsidP="001E5BB8">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rsidR="001E5BB8" w:rsidRPr="00ED628A" w:rsidRDefault="001E5BB8" w:rsidP="001E5BB8">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rsidR="001E5BB8" w:rsidRPr="00ED628A" w:rsidRDefault="001E5BB8" w:rsidP="001E5BB8">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rsidR="001E5BB8" w:rsidRPr="00ED628A" w:rsidRDefault="001E5BB8" w:rsidP="001E5BB8">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rsidR="001E5BB8" w:rsidRPr="00B95D65" w:rsidRDefault="001E5BB8" w:rsidP="001E5BB8">
      <w:pPr>
        <w:numPr>
          <w:ilvl w:val="1"/>
          <w:numId w:val="5"/>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rsidR="001E5BB8" w:rsidRPr="00B95D65" w:rsidRDefault="001E5BB8" w:rsidP="001E5BB8">
      <w:pPr>
        <w:pStyle w:val="Odsekzoznamu"/>
        <w:numPr>
          <w:ilvl w:val="1"/>
          <w:numId w:val="5"/>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rsidR="001E5BB8" w:rsidRDefault="001E5BB8" w:rsidP="001E5BB8">
      <w:pPr>
        <w:spacing w:after="120"/>
        <w:jc w:val="both"/>
        <w:rPr>
          <w:rFonts w:ascii="Times New Roman" w:hAnsi="Times New Roman"/>
          <w:szCs w:val="22"/>
          <w:lang w:eastAsia="cs-CZ"/>
        </w:rPr>
      </w:pPr>
    </w:p>
    <w:p w:rsidR="001E5BB8" w:rsidRPr="00ED628A" w:rsidRDefault="001E5BB8" w:rsidP="001E5BB8">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rsidR="001E5BB8" w:rsidRPr="00ED628A" w:rsidRDefault="001E5BB8" w:rsidP="001E5BB8">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rsidR="001E5BB8" w:rsidRPr="00ED628A" w:rsidRDefault="001E5BB8" w:rsidP="001E5BB8">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rsidR="001E5BB8" w:rsidRPr="00ED628A" w:rsidRDefault="001E5BB8" w:rsidP="001E5BB8">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rsidR="001E5BB8" w:rsidRPr="00ED628A" w:rsidRDefault="001E5BB8" w:rsidP="001E5BB8">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rsidR="001E5BB8" w:rsidRPr="00ED628A" w:rsidRDefault="001E5BB8" w:rsidP="001E5BB8">
      <w:pPr>
        <w:numPr>
          <w:ilvl w:val="1"/>
          <w:numId w:val="6"/>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rsidR="001E5BB8" w:rsidRPr="00ED628A" w:rsidRDefault="001E5BB8" w:rsidP="001E5BB8">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rsidR="001E5BB8" w:rsidRPr="00ED628A" w:rsidRDefault="001E5BB8" w:rsidP="001E5BB8">
      <w:pPr>
        <w:numPr>
          <w:ilvl w:val="1"/>
          <w:numId w:val="6"/>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rsidR="001E5BB8" w:rsidRPr="00ED628A" w:rsidRDefault="001E5BB8" w:rsidP="001E5BB8">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rsidR="001E5BB8" w:rsidRPr="00ED628A" w:rsidRDefault="001E5BB8" w:rsidP="001E5BB8">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rsidR="001E5BB8" w:rsidRPr="00ED628A" w:rsidRDefault="001E5BB8" w:rsidP="001E5BB8">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rsidR="001E5BB8" w:rsidRPr="002D6BA8" w:rsidRDefault="001E5BB8" w:rsidP="001E5BB8">
      <w:pPr>
        <w:numPr>
          <w:ilvl w:val="1"/>
          <w:numId w:val="6"/>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rsidR="001E5BB8" w:rsidRPr="002D6BA8" w:rsidRDefault="001E5BB8" w:rsidP="001E5BB8">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rsidR="001E5BB8" w:rsidRPr="002D6BA8" w:rsidRDefault="001E5BB8" w:rsidP="001E5BB8">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rsidR="001E5BB8" w:rsidRPr="002D6BA8" w:rsidRDefault="001E5BB8" w:rsidP="001E5BB8">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rsidR="001E5BB8" w:rsidRPr="002D6BA8" w:rsidRDefault="001E5BB8" w:rsidP="001E5BB8">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rsidR="001E5BB8" w:rsidRPr="002D6BA8" w:rsidRDefault="001E5BB8" w:rsidP="001E5BB8">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rsidR="001E5BB8" w:rsidRPr="00ED628A" w:rsidRDefault="001E5BB8" w:rsidP="001E5BB8">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rsidR="001E5BB8" w:rsidRDefault="001E5BB8" w:rsidP="001E5BB8">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rsidR="001E5BB8" w:rsidRPr="00F21FF7" w:rsidRDefault="001E5BB8" w:rsidP="001E5BB8">
      <w:pPr>
        <w:spacing w:after="120"/>
        <w:ind w:left="374"/>
        <w:jc w:val="both"/>
        <w:rPr>
          <w:rFonts w:ascii="Times New Roman" w:hAnsi="Times New Roman"/>
          <w:sz w:val="22"/>
          <w:szCs w:val="22"/>
          <w:lang w:eastAsia="cs-CZ"/>
        </w:rPr>
      </w:pP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rsidR="001E5BB8" w:rsidRPr="00B660EC"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rsidR="001E5BB8" w:rsidRPr="00ED628A" w:rsidRDefault="001E5BB8" w:rsidP="001E5BB8">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rsidR="001E5BB8" w:rsidRPr="00ED628A" w:rsidRDefault="001E5BB8" w:rsidP="001E5BB8">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rsidR="001E5BB8" w:rsidRPr="00ED628A" w:rsidRDefault="001E5BB8" w:rsidP="001E5BB8">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rsidR="001E5BB8" w:rsidRPr="00ED628A" w:rsidRDefault="001E5BB8" w:rsidP="001E5BB8">
      <w:pPr>
        <w:spacing w:after="120"/>
        <w:ind w:left="374" w:hanging="431"/>
        <w:jc w:val="both"/>
        <w:rPr>
          <w:rFonts w:ascii="Times New Roman" w:hAnsi="Times New Roman"/>
          <w:sz w:val="22"/>
          <w:szCs w:val="22"/>
          <w:lang w:eastAsia="cs-CZ"/>
        </w:rPr>
      </w:pPr>
    </w:p>
    <w:p w:rsidR="001E5BB8" w:rsidRPr="00ED628A" w:rsidRDefault="001E5BB8" w:rsidP="001E5BB8">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rsidR="001E5BB8" w:rsidRPr="00ED628A" w:rsidRDefault="001E5BB8" w:rsidP="001E5BB8">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rsidR="001E5BB8" w:rsidRPr="005F4CF4" w:rsidRDefault="001E5BB8" w:rsidP="001E5BB8">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rsidR="001E5BB8" w:rsidRPr="005F4CF4" w:rsidRDefault="001E5BB8" w:rsidP="001E5BB8">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rsidR="001E5BB8" w:rsidRPr="005F4CF4" w:rsidRDefault="001E5BB8" w:rsidP="001E5BB8">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rsidR="001E5BB8" w:rsidRPr="00ED628A" w:rsidRDefault="001E5BB8" w:rsidP="001E5BB8">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rsidR="001E5BB8" w:rsidRPr="00ED628A" w:rsidRDefault="001E5BB8" w:rsidP="001E5BB8">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rsidR="001E5BB8" w:rsidRPr="00ED628A" w:rsidRDefault="001E5BB8" w:rsidP="001E5BB8">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w:t>
      </w:r>
      <w:r w:rsidRPr="00ED628A">
        <w:rPr>
          <w:rFonts w:ascii="Times New Roman" w:hAnsi="Times New Roman"/>
          <w:sz w:val="22"/>
          <w:szCs w:val="22"/>
          <w:lang w:eastAsia="cs-CZ"/>
        </w:rPr>
        <w:lastRenderedPageBreak/>
        <w:t xml:space="preserve">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rsidR="001E5BB8" w:rsidRPr="00ED628A" w:rsidRDefault="001E5BB8" w:rsidP="001E5BB8">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rsidR="001E5BB8" w:rsidRPr="00ED628A" w:rsidRDefault="001E5BB8" w:rsidP="001E5BB8">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rsidR="001E5BB8" w:rsidRPr="00ED628A" w:rsidRDefault="001E5BB8" w:rsidP="001E5BB8">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rsidR="001E5BB8" w:rsidRPr="00ED628A" w:rsidRDefault="001E5BB8" w:rsidP="001E5BB8">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rsidR="001E5BB8" w:rsidRPr="00ED628A" w:rsidRDefault="001E5BB8" w:rsidP="001E5BB8">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rsidR="001E5BB8" w:rsidRDefault="001E5BB8" w:rsidP="001E5BB8">
      <w:pPr>
        <w:numPr>
          <w:ilvl w:val="1"/>
          <w:numId w:val="10"/>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 xml:space="preserve">Zmluva sa uzatvára na dobu do splnenia všetkých práv a povinností z nej vyplývajúcich, alebo do ich zániku iným spôsobom, najdlhšie však do </w:t>
      </w:r>
      <w:r>
        <w:rPr>
          <w:rFonts w:ascii="Times New Roman" w:hAnsi="Times New Roman"/>
          <w:sz w:val="22"/>
          <w:szCs w:val="22"/>
          <w:lang w:eastAsia="cs-CZ"/>
        </w:rPr>
        <w:t>............</w:t>
      </w:r>
      <w:r w:rsidRPr="00D956A8">
        <w:rPr>
          <w:rFonts w:ascii="Times New Roman" w:hAnsi="Times New Roman"/>
          <w:i/>
          <w:sz w:val="22"/>
          <w:szCs w:val="22"/>
          <w:lang w:eastAsia="cs-CZ"/>
        </w:rPr>
        <w:t>bude uvedený v konkrétnej výzve</w:t>
      </w:r>
      <w:r w:rsidRPr="00D956A8">
        <w:rPr>
          <w:rFonts w:ascii="Times New Roman" w:hAnsi="Times New Roman"/>
          <w:sz w:val="22"/>
          <w:szCs w:val="22"/>
          <w:lang w:eastAsia="cs-CZ"/>
        </w:rPr>
        <w:t>.</w:t>
      </w:r>
      <w:r w:rsidRPr="00ED628A">
        <w:rPr>
          <w:rFonts w:ascii="Times New Roman" w:hAnsi="Times New Roman"/>
          <w:sz w:val="22"/>
          <w:szCs w:val="22"/>
          <w:lang w:eastAsia="cs-CZ"/>
        </w:rPr>
        <w:t xml:space="preserve"> </w:t>
      </w:r>
    </w:p>
    <w:p w:rsidR="001E5BB8" w:rsidRPr="00ED628A" w:rsidRDefault="001E5BB8" w:rsidP="001E5BB8">
      <w:pPr>
        <w:numPr>
          <w:ilvl w:val="1"/>
          <w:numId w:val="10"/>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rsidR="001E5BB8" w:rsidRPr="00ED628A" w:rsidRDefault="001E5BB8" w:rsidP="001E5BB8">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rsidR="001E5BB8" w:rsidRPr="00ED628A" w:rsidRDefault="001E5BB8" w:rsidP="001E5BB8">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rsidR="001E5BB8" w:rsidRDefault="001E5BB8" w:rsidP="001E5BB8">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rsidR="001E5BB8" w:rsidRPr="00ED628A" w:rsidRDefault="001E5BB8" w:rsidP="001E5BB8">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rsidR="001E5BB8" w:rsidRPr="00ED628A" w:rsidRDefault="001E5BB8" w:rsidP="001E5BB8">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rsidR="001E5BB8" w:rsidRPr="00ED628A" w:rsidRDefault="001E5BB8" w:rsidP="001E5BB8">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rsidR="001E5BB8" w:rsidRPr="00ED628A" w:rsidRDefault="001E5BB8" w:rsidP="001E5BB8">
      <w:pPr>
        <w:tabs>
          <w:tab w:val="left" w:pos="851"/>
          <w:tab w:val="center" w:pos="6237"/>
        </w:tabs>
        <w:spacing w:after="120"/>
        <w:ind w:left="374" w:hanging="431"/>
        <w:jc w:val="both"/>
        <w:rPr>
          <w:rFonts w:ascii="Times New Roman" w:hAnsi="Times New Roman"/>
          <w:bCs/>
          <w:sz w:val="22"/>
          <w:szCs w:val="22"/>
          <w:lang w:eastAsia="cs-CZ"/>
        </w:rPr>
      </w:pPr>
    </w:p>
    <w:p w:rsidR="001E5BB8" w:rsidRDefault="001E5BB8" w:rsidP="001E5BB8">
      <w:pPr>
        <w:tabs>
          <w:tab w:val="left" w:pos="851"/>
          <w:tab w:val="center" w:pos="6237"/>
        </w:tabs>
        <w:spacing w:after="120"/>
        <w:ind w:left="374" w:hanging="431"/>
        <w:jc w:val="both"/>
        <w:rPr>
          <w:rFonts w:ascii="Times New Roman" w:hAnsi="Times New Roman"/>
          <w:bCs/>
          <w:sz w:val="22"/>
          <w:szCs w:val="22"/>
          <w:lang w:eastAsia="cs-CZ"/>
        </w:rPr>
      </w:pPr>
    </w:p>
    <w:p w:rsidR="001E5BB8" w:rsidRPr="00ED628A" w:rsidRDefault="001E5BB8" w:rsidP="001E5BB8">
      <w:pPr>
        <w:tabs>
          <w:tab w:val="left" w:pos="851"/>
          <w:tab w:val="center" w:pos="6237"/>
        </w:tabs>
        <w:spacing w:after="120"/>
        <w:ind w:left="374" w:hanging="431"/>
        <w:jc w:val="both"/>
        <w:rPr>
          <w:rFonts w:ascii="Times New Roman" w:hAnsi="Times New Roman"/>
          <w:bCs/>
          <w:sz w:val="22"/>
          <w:szCs w:val="22"/>
          <w:lang w:eastAsia="cs-CZ"/>
        </w:rPr>
      </w:pPr>
    </w:p>
    <w:p w:rsidR="001E5BB8" w:rsidRPr="00ED628A" w:rsidRDefault="001E5BB8" w:rsidP="001E5BB8">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rsidR="001E5BB8" w:rsidRPr="00ED628A" w:rsidRDefault="001E5BB8" w:rsidP="001E5BB8">
      <w:pPr>
        <w:spacing w:after="120"/>
        <w:ind w:left="374" w:hanging="431"/>
        <w:jc w:val="both"/>
        <w:rPr>
          <w:rFonts w:ascii="Times New Roman" w:hAnsi="Times New Roman"/>
          <w:sz w:val="22"/>
          <w:szCs w:val="22"/>
          <w:lang w:eastAsia="cs-CZ"/>
        </w:rPr>
      </w:pPr>
    </w:p>
    <w:p w:rsidR="001E5BB8" w:rsidRPr="00ED628A" w:rsidRDefault="001E5BB8" w:rsidP="001E5BB8">
      <w:pPr>
        <w:tabs>
          <w:tab w:val="center" w:pos="2268"/>
          <w:tab w:val="center" w:pos="7938"/>
        </w:tabs>
        <w:spacing w:after="120"/>
        <w:ind w:left="374" w:hanging="431"/>
        <w:jc w:val="both"/>
        <w:rPr>
          <w:rFonts w:ascii="Times New Roman" w:hAnsi="Times New Roman"/>
          <w:sz w:val="22"/>
          <w:szCs w:val="22"/>
          <w:lang w:eastAsia="cs-CZ"/>
        </w:rPr>
      </w:pPr>
    </w:p>
    <w:p w:rsidR="001E5BB8" w:rsidRPr="00ED628A" w:rsidRDefault="001E5BB8" w:rsidP="001E5BB8">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rsidR="001E5BB8" w:rsidRDefault="001E5BB8" w:rsidP="001E5BB8">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rsidR="001E5BB8" w:rsidRDefault="001E5BB8" w:rsidP="001E5BB8">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w:t>
      </w:r>
      <w:proofErr w:type="spellStart"/>
      <w:r>
        <w:rPr>
          <w:rFonts w:ascii="Times New Roman" w:hAnsi="Times New Roman"/>
          <w:b/>
          <w:bCs/>
          <w:sz w:val="22"/>
          <w:szCs w:val="22"/>
          <w:lang w:eastAsia="cs-CZ"/>
        </w:rPr>
        <w:t>Uchaľ</w:t>
      </w:r>
      <w:proofErr w:type="spellEnd"/>
      <w:r>
        <w:rPr>
          <w:rFonts w:ascii="Times New Roman" w:hAnsi="Times New Roman"/>
          <w:b/>
          <w:bCs/>
          <w:sz w:val="22"/>
          <w:szCs w:val="22"/>
          <w:lang w:eastAsia="cs-CZ"/>
        </w:rPr>
        <w:t xml:space="preserve"> </w:t>
      </w:r>
    </w:p>
    <w:p w:rsidR="001E5BB8" w:rsidRDefault="001E5BB8" w:rsidP="001E5BB8">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rsidR="001E5BB8" w:rsidRDefault="001E5BB8" w:rsidP="001E5BB8">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rsidR="001E5BB8" w:rsidRPr="00261544" w:rsidRDefault="001E5BB8" w:rsidP="001E5BB8">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rsidR="001E5BB8" w:rsidRDefault="001E5BB8" w:rsidP="001E5BB8">
      <w:pPr>
        <w:tabs>
          <w:tab w:val="center" w:pos="2268"/>
          <w:tab w:val="center" w:pos="7371"/>
          <w:tab w:val="center" w:pos="7938"/>
        </w:tabs>
        <w:spacing w:after="120"/>
        <w:ind w:left="374" w:hanging="431"/>
        <w:jc w:val="both"/>
        <w:rPr>
          <w:rFonts w:ascii="Times New Roman" w:hAnsi="Times New Roman"/>
          <w:sz w:val="22"/>
          <w:szCs w:val="22"/>
          <w:lang w:eastAsia="cs-CZ"/>
        </w:rPr>
        <w:sectPr w:rsidR="001E5BB8" w:rsidSect="00786D35">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Pr>
          <w:rFonts w:ascii="Times New Roman" w:hAnsi="Times New Roman"/>
          <w:sz w:val="22"/>
          <w:szCs w:val="22"/>
          <w:lang w:eastAsia="cs-CZ"/>
        </w:rPr>
        <w:t xml:space="preserve">   </w:t>
      </w:r>
    </w:p>
    <w:p w:rsidR="001E5BB8" w:rsidRPr="00ED628A" w:rsidRDefault="001E5BB8" w:rsidP="001E5BB8">
      <w:pPr>
        <w:tabs>
          <w:tab w:val="center" w:pos="2268"/>
          <w:tab w:val="center" w:pos="7371"/>
          <w:tab w:val="center" w:pos="7938"/>
        </w:tabs>
        <w:spacing w:after="120"/>
        <w:ind w:left="374" w:hanging="431"/>
        <w:jc w:val="both"/>
        <w:rPr>
          <w:rFonts w:ascii="Times New Roman" w:hAnsi="Times New Roman"/>
          <w:sz w:val="22"/>
          <w:szCs w:val="22"/>
          <w:lang w:eastAsia="cs-CZ"/>
        </w:rPr>
      </w:pPr>
    </w:p>
    <w:p w:rsidR="001E5BB8" w:rsidRPr="00ED628A" w:rsidRDefault="001E5BB8" w:rsidP="001E5BB8">
      <w:pPr>
        <w:rPr>
          <w:rFonts w:ascii="Times New Roman" w:hAnsi="Times New Roman"/>
          <w:b/>
          <w:sz w:val="22"/>
          <w:szCs w:val="22"/>
        </w:rPr>
      </w:pPr>
      <w:r w:rsidRPr="00ED628A">
        <w:rPr>
          <w:rFonts w:ascii="Times New Roman" w:hAnsi="Times New Roman"/>
          <w:b/>
          <w:sz w:val="22"/>
          <w:szCs w:val="22"/>
        </w:rPr>
        <w:t xml:space="preserve">Príloha č. 1 – </w:t>
      </w:r>
      <w:r>
        <w:rPr>
          <w:rFonts w:ascii="Times New Roman" w:hAnsi="Times New Roman"/>
          <w:b/>
          <w:sz w:val="22"/>
          <w:szCs w:val="22"/>
        </w:rPr>
        <w:t xml:space="preserve">Opis predmetu zákazky a vlastný návrh na plnenie </w:t>
      </w:r>
    </w:p>
    <w:p w:rsidR="001E5BB8" w:rsidRPr="00ED628A" w:rsidRDefault="001E5BB8" w:rsidP="001E5BB8">
      <w:pPr>
        <w:spacing w:after="120"/>
        <w:ind w:left="374" w:hanging="431"/>
        <w:jc w:val="both"/>
        <w:rPr>
          <w:rFonts w:ascii="Times New Roman" w:hAnsi="Times New Roman"/>
          <w:b/>
          <w:sz w:val="22"/>
          <w:szCs w:val="22"/>
        </w:rPr>
      </w:pPr>
    </w:p>
    <w:p w:rsidR="001E5BB8" w:rsidRPr="00ED628A" w:rsidRDefault="001E5BB8" w:rsidP="001E5BB8">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rsidR="001E5BB8" w:rsidRDefault="001E5BB8" w:rsidP="001E5BB8">
      <w:pPr>
        <w:spacing w:after="120"/>
        <w:ind w:left="374" w:hanging="431"/>
        <w:jc w:val="both"/>
        <w:rPr>
          <w:rFonts w:ascii="Times New Roman" w:hAnsi="Times New Roman"/>
          <w:sz w:val="22"/>
          <w:szCs w:val="22"/>
          <w:highlight w:val="green"/>
        </w:rPr>
        <w:sectPr w:rsidR="001E5BB8" w:rsidSect="00786D35">
          <w:pgSz w:w="11906" w:h="16838" w:code="9"/>
          <w:pgMar w:top="720" w:right="1274" w:bottom="720" w:left="823" w:header="709" w:footer="567" w:gutter="170"/>
          <w:pgNumType w:chapStyle="1" w:chapSep="period"/>
          <w:cols w:space="708"/>
          <w:docGrid w:linePitch="360"/>
        </w:sectPr>
      </w:pPr>
    </w:p>
    <w:p w:rsidR="001E5BB8" w:rsidRPr="004478BF" w:rsidRDefault="001E5BB8" w:rsidP="001E5BB8">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Pr>
          <w:rFonts w:ascii="Times New Roman" w:hAnsi="Times New Roman"/>
          <w:b/>
          <w:sz w:val="22"/>
          <w:szCs w:val="22"/>
        </w:rPr>
        <w:t>íloha č. 2 – Návrh na plnenie kritérií</w:t>
      </w:r>
    </w:p>
    <w:p w:rsidR="001E5BB8" w:rsidRPr="004478BF" w:rsidRDefault="001E5BB8" w:rsidP="001E5BB8">
      <w:pPr>
        <w:spacing w:after="120"/>
        <w:ind w:left="374" w:hanging="431"/>
        <w:jc w:val="both"/>
        <w:rPr>
          <w:rFonts w:ascii="Times New Roman" w:hAnsi="Times New Roman"/>
          <w:sz w:val="22"/>
          <w:szCs w:val="22"/>
        </w:rPr>
      </w:pPr>
    </w:p>
    <w:p w:rsidR="001E5BB8" w:rsidRPr="004478BF" w:rsidRDefault="001E5BB8" w:rsidP="001E5BB8">
      <w:pPr>
        <w:spacing w:after="120"/>
        <w:jc w:val="both"/>
        <w:rPr>
          <w:rFonts w:ascii="Times New Roman" w:hAnsi="Times New Roman"/>
          <w:i/>
          <w:sz w:val="22"/>
          <w:szCs w:val="22"/>
        </w:rPr>
        <w:sectPr w:rsidR="001E5BB8"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rsidR="001E5BB8" w:rsidRPr="00ED628A" w:rsidRDefault="001E5BB8" w:rsidP="001E5BB8">
      <w:pPr>
        <w:rPr>
          <w:rFonts w:ascii="Times New Roman" w:hAnsi="Times New Roman"/>
          <w:b/>
          <w:sz w:val="22"/>
          <w:szCs w:val="22"/>
        </w:rPr>
      </w:pPr>
      <w:r w:rsidRPr="00ED628A">
        <w:rPr>
          <w:rFonts w:ascii="Times New Roman" w:hAnsi="Times New Roman"/>
          <w:b/>
          <w:sz w:val="22"/>
          <w:szCs w:val="22"/>
        </w:rPr>
        <w:lastRenderedPageBreak/>
        <w:t xml:space="preserve">Príloha č. </w:t>
      </w:r>
      <w:r>
        <w:rPr>
          <w:rFonts w:ascii="Times New Roman" w:hAnsi="Times New Roman"/>
          <w:b/>
          <w:sz w:val="22"/>
          <w:szCs w:val="22"/>
        </w:rPr>
        <w:t>3</w:t>
      </w:r>
      <w:r w:rsidRPr="00ED628A">
        <w:rPr>
          <w:rFonts w:ascii="Times New Roman" w:hAnsi="Times New Roman"/>
          <w:b/>
          <w:sz w:val="22"/>
          <w:szCs w:val="22"/>
        </w:rPr>
        <w:t xml:space="preserve"> - Zoznam všetkých známych subdodávateľov (príloha zmluvy)</w:t>
      </w:r>
    </w:p>
    <w:p w:rsidR="001E5BB8" w:rsidRPr="00ED628A" w:rsidRDefault="001E5BB8" w:rsidP="001E5BB8">
      <w:pPr>
        <w:spacing w:after="120"/>
        <w:ind w:left="374" w:hanging="431"/>
        <w:jc w:val="both"/>
        <w:rPr>
          <w:rFonts w:ascii="Times New Roman" w:hAnsi="Times New Roman"/>
          <w:b/>
          <w:sz w:val="22"/>
          <w:szCs w:val="22"/>
        </w:rPr>
      </w:pPr>
    </w:p>
    <w:p w:rsidR="001E5BB8" w:rsidRPr="00ED628A" w:rsidRDefault="001E5BB8" w:rsidP="001E5BB8">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rsidR="001E5BB8" w:rsidRPr="00ED628A" w:rsidRDefault="001E5BB8" w:rsidP="001E5BB8">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 ustanovenej v § 41 ods. 3 ZVO.)</w:t>
      </w:r>
    </w:p>
    <w:p w:rsidR="001E5BB8" w:rsidRPr="00ED628A" w:rsidRDefault="001E5BB8" w:rsidP="001E5BB8">
      <w:pPr>
        <w:spacing w:after="120"/>
        <w:ind w:left="374" w:hanging="431"/>
        <w:jc w:val="center"/>
        <w:rPr>
          <w:rFonts w:ascii="Times New Roman" w:hAnsi="Times New Roman"/>
          <w:sz w:val="22"/>
          <w:szCs w:val="22"/>
        </w:rPr>
      </w:pPr>
    </w:p>
    <w:p w:rsidR="001E5BB8" w:rsidRPr="00ED628A" w:rsidRDefault="001E5BB8" w:rsidP="001E5BB8">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 obstarávania sa budú podieľať subdodávatelia: ÁNO/NIE</w:t>
      </w:r>
      <w:r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rsidR="001E5BB8" w:rsidRPr="00ED628A" w:rsidRDefault="001E5BB8" w:rsidP="001E5BB8">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185"/>
        <w:gridCol w:w="2167"/>
        <w:gridCol w:w="2099"/>
        <w:gridCol w:w="2237"/>
      </w:tblGrid>
      <w:tr w:rsidR="001E5BB8" w:rsidRPr="00ED628A" w:rsidTr="0027583C">
        <w:trPr>
          <w:trHeight w:val="1469"/>
        </w:trPr>
        <w:tc>
          <w:tcPr>
            <w:tcW w:w="2383" w:type="dxa"/>
          </w:tcPr>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rsidR="001E5BB8" w:rsidRPr="00ED628A" w:rsidRDefault="001E5BB8" w:rsidP="0027583C">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rsidR="001E5BB8" w:rsidRPr="00ED628A" w:rsidRDefault="001E5BB8" w:rsidP="0027583C">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rsidR="001E5BB8" w:rsidRPr="00ED628A" w:rsidRDefault="001E5BB8" w:rsidP="0027583C">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rsidR="001E5BB8" w:rsidRPr="00ED628A" w:rsidRDefault="001E5BB8" w:rsidP="0027583C">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rsidR="001E5BB8" w:rsidRPr="00ED628A" w:rsidRDefault="001E5BB8" w:rsidP="0027583C">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1E5BB8" w:rsidRPr="00ED628A" w:rsidTr="0027583C">
        <w:trPr>
          <w:trHeight w:val="399"/>
        </w:trPr>
        <w:tc>
          <w:tcPr>
            <w:tcW w:w="2383" w:type="dxa"/>
          </w:tcPr>
          <w:p w:rsidR="001E5BB8" w:rsidRPr="00ED628A" w:rsidRDefault="001E5BB8" w:rsidP="0027583C">
            <w:pPr>
              <w:spacing w:after="120"/>
              <w:jc w:val="both"/>
              <w:rPr>
                <w:rFonts w:ascii="Times New Roman" w:hAnsi="Times New Roman"/>
                <w:sz w:val="22"/>
                <w:szCs w:val="22"/>
              </w:rPr>
            </w:pPr>
          </w:p>
        </w:tc>
        <w:tc>
          <w:tcPr>
            <w:tcW w:w="2378" w:type="dxa"/>
          </w:tcPr>
          <w:p w:rsidR="001E5BB8" w:rsidRPr="00ED628A" w:rsidRDefault="001E5BB8" w:rsidP="0027583C">
            <w:pPr>
              <w:spacing w:after="120"/>
              <w:jc w:val="both"/>
              <w:rPr>
                <w:rFonts w:ascii="Times New Roman" w:hAnsi="Times New Roman"/>
                <w:sz w:val="22"/>
                <w:szCs w:val="22"/>
              </w:rPr>
            </w:pPr>
          </w:p>
        </w:tc>
        <w:tc>
          <w:tcPr>
            <w:tcW w:w="2359" w:type="dxa"/>
          </w:tcPr>
          <w:p w:rsidR="001E5BB8" w:rsidRPr="00ED628A" w:rsidRDefault="001E5BB8" w:rsidP="0027583C">
            <w:pPr>
              <w:spacing w:after="120"/>
              <w:jc w:val="both"/>
              <w:rPr>
                <w:rFonts w:ascii="Times New Roman" w:hAnsi="Times New Roman"/>
                <w:sz w:val="22"/>
                <w:szCs w:val="22"/>
              </w:rPr>
            </w:pPr>
          </w:p>
        </w:tc>
        <w:tc>
          <w:tcPr>
            <w:tcW w:w="2398" w:type="dxa"/>
          </w:tcPr>
          <w:p w:rsidR="001E5BB8" w:rsidRPr="00ED628A" w:rsidRDefault="001E5BB8" w:rsidP="0027583C">
            <w:pPr>
              <w:spacing w:after="120"/>
              <w:jc w:val="both"/>
              <w:rPr>
                <w:rFonts w:ascii="Times New Roman" w:hAnsi="Times New Roman"/>
                <w:sz w:val="22"/>
                <w:szCs w:val="22"/>
              </w:rPr>
            </w:pPr>
          </w:p>
        </w:tc>
      </w:tr>
      <w:tr w:rsidR="001E5BB8" w:rsidRPr="00ED628A" w:rsidTr="0027583C">
        <w:trPr>
          <w:trHeight w:val="383"/>
        </w:trPr>
        <w:tc>
          <w:tcPr>
            <w:tcW w:w="2383" w:type="dxa"/>
          </w:tcPr>
          <w:p w:rsidR="001E5BB8" w:rsidRPr="00ED628A" w:rsidRDefault="001E5BB8" w:rsidP="0027583C">
            <w:pPr>
              <w:spacing w:after="120"/>
              <w:jc w:val="both"/>
              <w:rPr>
                <w:rFonts w:ascii="Times New Roman" w:hAnsi="Times New Roman"/>
                <w:sz w:val="22"/>
                <w:szCs w:val="22"/>
              </w:rPr>
            </w:pPr>
          </w:p>
        </w:tc>
        <w:tc>
          <w:tcPr>
            <w:tcW w:w="2378" w:type="dxa"/>
          </w:tcPr>
          <w:p w:rsidR="001E5BB8" w:rsidRPr="00ED628A" w:rsidRDefault="001E5BB8" w:rsidP="0027583C">
            <w:pPr>
              <w:spacing w:after="120"/>
              <w:jc w:val="both"/>
              <w:rPr>
                <w:rFonts w:ascii="Times New Roman" w:hAnsi="Times New Roman"/>
                <w:sz w:val="22"/>
                <w:szCs w:val="22"/>
              </w:rPr>
            </w:pPr>
          </w:p>
        </w:tc>
        <w:tc>
          <w:tcPr>
            <w:tcW w:w="2359" w:type="dxa"/>
          </w:tcPr>
          <w:p w:rsidR="001E5BB8" w:rsidRPr="00ED628A" w:rsidRDefault="001E5BB8" w:rsidP="0027583C">
            <w:pPr>
              <w:spacing w:after="120"/>
              <w:jc w:val="both"/>
              <w:rPr>
                <w:rFonts w:ascii="Times New Roman" w:hAnsi="Times New Roman"/>
                <w:sz w:val="22"/>
                <w:szCs w:val="22"/>
              </w:rPr>
            </w:pPr>
          </w:p>
        </w:tc>
        <w:tc>
          <w:tcPr>
            <w:tcW w:w="2398" w:type="dxa"/>
          </w:tcPr>
          <w:p w:rsidR="001E5BB8" w:rsidRPr="00ED628A" w:rsidRDefault="001E5BB8" w:rsidP="0027583C">
            <w:pPr>
              <w:spacing w:after="120"/>
              <w:jc w:val="both"/>
              <w:rPr>
                <w:rFonts w:ascii="Times New Roman" w:hAnsi="Times New Roman"/>
                <w:sz w:val="22"/>
                <w:szCs w:val="22"/>
              </w:rPr>
            </w:pPr>
          </w:p>
        </w:tc>
      </w:tr>
      <w:tr w:rsidR="001E5BB8" w:rsidRPr="00ED628A" w:rsidTr="0027583C">
        <w:trPr>
          <w:trHeight w:val="383"/>
        </w:trPr>
        <w:tc>
          <w:tcPr>
            <w:tcW w:w="2383" w:type="dxa"/>
          </w:tcPr>
          <w:p w:rsidR="001E5BB8" w:rsidRPr="00ED628A" w:rsidRDefault="001E5BB8" w:rsidP="0027583C">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rsidR="001E5BB8" w:rsidRPr="00ED628A" w:rsidRDefault="001E5BB8" w:rsidP="0027583C">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rsidR="001E5BB8" w:rsidRPr="00ED628A" w:rsidRDefault="001E5BB8" w:rsidP="0027583C">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rsidR="001E5BB8" w:rsidRPr="00ED628A" w:rsidRDefault="001E5BB8" w:rsidP="0027583C">
            <w:pPr>
              <w:spacing w:after="120"/>
              <w:jc w:val="both"/>
              <w:rPr>
                <w:rFonts w:ascii="Times New Roman" w:hAnsi="Times New Roman"/>
                <w:sz w:val="22"/>
                <w:szCs w:val="22"/>
              </w:rPr>
            </w:pPr>
          </w:p>
        </w:tc>
      </w:tr>
    </w:tbl>
    <w:p w:rsidR="001E5BB8" w:rsidRPr="00ED628A" w:rsidRDefault="001E5BB8" w:rsidP="001E5BB8">
      <w:pPr>
        <w:spacing w:after="120"/>
        <w:ind w:left="374" w:hanging="431"/>
        <w:jc w:val="both"/>
        <w:rPr>
          <w:rFonts w:ascii="Times New Roman" w:hAnsi="Times New Roman"/>
          <w:sz w:val="22"/>
          <w:szCs w:val="22"/>
        </w:rPr>
      </w:pPr>
    </w:p>
    <w:p w:rsidR="001E5BB8" w:rsidRPr="00ED628A" w:rsidRDefault="001E5BB8" w:rsidP="001E5BB8">
      <w:pPr>
        <w:spacing w:after="120"/>
        <w:ind w:left="374" w:hanging="431"/>
        <w:jc w:val="both"/>
        <w:rPr>
          <w:rFonts w:ascii="Times New Roman" w:hAnsi="Times New Roman"/>
          <w:b/>
          <w:sz w:val="22"/>
          <w:szCs w:val="22"/>
        </w:rPr>
      </w:pPr>
    </w:p>
    <w:p w:rsidR="001E5BB8" w:rsidRPr="00ED628A" w:rsidRDefault="001E5BB8" w:rsidP="001E5BB8">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rsidR="001E5BB8" w:rsidRPr="00590CB4" w:rsidRDefault="001E5BB8" w:rsidP="001E5BB8">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v plnom rozsahu ZVO a nesmú u neho existovať dôvody na vylúčenie podľa § 40 ods.6 písm. a) až h) a ods.7 ZVO; bude mať oprávnenie dodávať tovar alebo poskytovať službu k tej časti predmetu zákazky, ktorú má subdodávateľ plniť, </w:t>
      </w:r>
    </w:p>
    <w:p w:rsidR="001E5BB8" w:rsidRPr="00590CB4" w:rsidRDefault="001E5BB8" w:rsidP="001E5BB8">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informujem verejného obstarávateľa.</w:t>
      </w:r>
    </w:p>
    <w:p w:rsidR="001E5BB8" w:rsidRPr="00590CB4" w:rsidRDefault="001E5BB8" w:rsidP="001E5BB8">
      <w:pPr>
        <w:pStyle w:val="Odsekzoznamu"/>
        <w:numPr>
          <w:ilvl w:val="0"/>
          <w:numId w:val="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 xml:space="preserve">subdodávateľa oznámim verejnému obstarávateľovi (objednávateľovi) minimálne 5 pracovných dní pred začatím poskytovania služieb subdodávateľom. Každý takýto subdodávateľ bude spĺňať podmienku osobného postavenia podľa § 32 ods.1 v plnom </w:t>
      </w:r>
      <w:proofErr w:type="spellStart"/>
      <w:r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p>
    <w:p w:rsidR="001E5BB8" w:rsidRPr="00ED628A" w:rsidRDefault="001E5BB8" w:rsidP="001E5BB8">
      <w:pPr>
        <w:spacing w:after="120"/>
        <w:ind w:left="567" w:hanging="141"/>
        <w:jc w:val="both"/>
        <w:rPr>
          <w:rFonts w:ascii="Times New Roman" w:hAnsi="Times New Roman"/>
          <w:b/>
          <w:sz w:val="22"/>
          <w:szCs w:val="22"/>
        </w:rPr>
      </w:pPr>
    </w:p>
    <w:p w:rsidR="001E5BB8" w:rsidRPr="00ED628A" w:rsidRDefault="001E5BB8" w:rsidP="001E5BB8">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rsidR="001E5BB8" w:rsidRPr="00ED628A" w:rsidRDefault="001E5BB8" w:rsidP="001E5BB8">
      <w:pPr>
        <w:autoSpaceDE w:val="0"/>
        <w:autoSpaceDN w:val="0"/>
        <w:adjustRightInd w:val="0"/>
        <w:ind w:left="567" w:hanging="141"/>
        <w:rPr>
          <w:rFonts w:ascii="Times New Roman" w:eastAsia="Calibri" w:hAnsi="Times New Roman"/>
          <w:sz w:val="22"/>
          <w:szCs w:val="22"/>
        </w:rPr>
      </w:pPr>
    </w:p>
    <w:p w:rsidR="001E5BB8" w:rsidRPr="00ED628A" w:rsidRDefault="001E5BB8" w:rsidP="001E5BB8">
      <w:pPr>
        <w:autoSpaceDE w:val="0"/>
        <w:autoSpaceDN w:val="0"/>
        <w:adjustRightInd w:val="0"/>
        <w:ind w:left="567" w:hanging="141"/>
        <w:rPr>
          <w:rFonts w:ascii="Times New Roman" w:eastAsia="Calibri" w:hAnsi="Times New Roman"/>
          <w:sz w:val="22"/>
          <w:szCs w:val="22"/>
        </w:rPr>
      </w:pPr>
    </w:p>
    <w:p w:rsidR="001E5BB8" w:rsidRPr="00ED628A" w:rsidRDefault="001E5BB8" w:rsidP="001E5BB8">
      <w:pPr>
        <w:autoSpaceDE w:val="0"/>
        <w:autoSpaceDN w:val="0"/>
        <w:adjustRightInd w:val="0"/>
        <w:ind w:left="567" w:hanging="141"/>
        <w:rPr>
          <w:rFonts w:ascii="Times New Roman" w:eastAsia="Calibri" w:hAnsi="Times New Roman"/>
          <w:sz w:val="22"/>
          <w:szCs w:val="22"/>
        </w:rPr>
      </w:pPr>
    </w:p>
    <w:p w:rsidR="001E5BB8" w:rsidRPr="00ED628A" w:rsidRDefault="001E5BB8" w:rsidP="001E5BB8">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rsidR="001E5BB8" w:rsidRPr="00ED628A" w:rsidRDefault="001E5BB8" w:rsidP="001E5BB8">
      <w:pPr>
        <w:autoSpaceDE w:val="0"/>
        <w:autoSpaceDN w:val="0"/>
        <w:adjustRightInd w:val="0"/>
        <w:ind w:left="567" w:hanging="141"/>
        <w:rPr>
          <w:rFonts w:ascii="Times New Roman" w:eastAsia="Calibri" w:hAnsi="Times New Roman"/>
          <w:sz w:val="22"/>
          <w:szCs w:val="22"/>
        </w:rPr>
      </w:pPr>
    </w:p>
    <w:p w:rsidR="001E5BB8" w:rsidRPr="00ED628A" w:rsidRDefault="001E5BB8" w:rsidP="001E5BB8">
      <w:pPr>
        <w:autoSpaceDE w:val="0"/>
        <w:autoSpaceDN w:val="0"/>
        <w:adjustRightInd w:val="0"/>
        <w:ind w:left="567" w:hanging="141"/>
        <w:rPr>
          <w:rFonts w:ascii="Times New Roman" w:eastAsia="Calibri" w:hAnsi="Times New Roman"/>
          <w:sz w:val="22"/>
          <w:szCs w:val="22"/>
        </w:rPr>
      </w:pPr>
    </w:p>
    <w:p w:rsidR="000E5CD6" w:rsidRPr="001E5BB8" w:rsidRDefault="001E5BB8" w:rsidP="001E5BB8">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sectPr w:rsidR="000E5CD6" w:rsidRPr="001E5BB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F7C" w:rsidRDefault="00365F7C" w:rsidP="001E5BB8">
      <w:r>
        <w:separator/>
      </w:r>
    </w:p>
  </w:endnote>
  <w:endnote w:type="continuationSeparator" w:id="0">
    <w:p w:rsidR="00365F7C" w:rsidRDefault="00365F7C" w:rsidP="001E5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F7C" w:rsidRDefault="00365F7C" w:rsidP="001E5BB8">
      <w:r>
        <w:separator/>
      </w:r>
    </w:p>
  </w:footnote>
  <w:footnote w:type="continuationSeparator" w:id="0">
    <w:p w:rsidR="00365F7C" w:rsidRDefault="00365F7C" w:rsidP="001E5BB8">
      <w:r>
        <w:continuationSeparator/>
      </w:r>
    </w:p>
  </w:footnote>
  <w:footnote w:id="1">
    <w:p w:rsidR="001E5BB8" w:rsidRDefault="001E5BB8" w:rsidP="001E5BB8">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7"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5"/>
  </w:num>
  <w:num w:numId="5">
    <w:abstractNumId w:val="8"/>
  </w:num>
  <w:num w:numId="6">
    <w:abstractNumId w:val="7"/>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BB8"/>
    <w:rsid w:val="000E5CD6"/>
    <w:rsid w:val="001E5BB8"/>
    <w:rsid w:val="00365F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1CA42"/>
  <w15:chartTrackingRefBased/>
  <w15:docId w15:val="{AA8BFF1D-4753-40CE-AC68-F5110FD1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E5BB8"/>
    <w:pPr>
      <w:spacing w:after="0" w:line="240" w:lineRule="auto"/>
    </w:pPr>
    <w:rPr>
      <w:rFonts w:ascii="Arial" w:eastAsia="Times New Roman" w:hAnsi="Arial" w:cs="Times New Roman"/>
      <w:sz w:val="20"/>
      <w:szCs w:val="24"/>
      <w:lang w:eastAsia="sk-SK"/>
    </w:rPr>
  </w:style>
  <w:style w:type="paragraph" w:styleId="Nadpis1">
    <w:name w:val="heading 1"/>
    <w:basedOn w:val="Nadpis3"/>
    <w:next w:val="Normlny"/>
    <w:link w:val="Nadpis1Char"/>
    <w:uiPriority w:val="9"/>
    <w:qFormat/>
    <w:rsid w:val="001E5BB8"/>
    <w:pPr>
      <w:keepNext w:val="0"/>
      <w:keepLines w:val="0"/>
      <w:spacing w:before="240" w:after="120"/>
      <w:ind w:left="720" w:right="-29" w:hanging="567"/>
      <w:jc w:val="right"/>
      <w:outlineLvl w:val="0"/>
    </w:pPr>
    <w:rPr>
      <w:rFonts w:ascii="Tahoma" w:eastAsia="Times New Roman" w:hAnsi="Tahoma" w:cs="Tahoma"/>
      <w:b/>
      <w:caps/>
      <w:color w:val="auto"/>
      <w:sz w:val="26"/>
      <w:szCs w:val="26"/>
    </w:rPr>
  </w:style>
  <w:style w:type="paragraph" w:styleId="Nadpis3">
    <w:name w:val="heading 3"/>
    <w:basedOn w:val="Normlny"/>
    <w:next w:val="Normlny"/>
    <w:link w:val="Nadpis3Char"/>
    <w:uiPriority w:val="9"/>
    <w:semiHidden/>
    <w:unhideWhenUsed/>
    <w:qFormat/>
    <w:rsid w:val="001E5BB8"/>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E5BB8"/>
    <w:rPr>
      <w:rFonts w:ascii="Tahoma" w:eastAsia="Times New Roman" w:hAnsi="Tahoma" w:cs="Tahoma"/>
      <w:b/>
      <w:caps/>
      <w:sz w:val="26"/>
      <w:szCs w:val="26"/>
      <w:lang w:eastAsia="sk-SK"/>
    </w:rPr>
  </w:style>
  <w:style w:type="paragraph" w:styleId="Odsekzoznamu">
    <w:name w:val="List Paragraph"/>
    <w:basedOn w:val="Normlny"/>
    <w:link w:val="OdsekzoznamuChar"/>
    <w:uiPriority w:val="34"/>
    <w:qFormat/>
    <w:rsid w:val="001E5BB8"/>
    <w:pPr>
      <w:ind w:left="708"/>
    </w:pPr>
    <w:rPr>
      <w:sz w:val="22"/>
    </w:rPr>
  </w:style>
  <w:style w:type="table" w:styleId="Mriekatabuky">
    <w:name w:val="Table Grid"/>
    <w:basedOn w:val="Normlnatabuka"/>
    <w:uiPriority w:val="39"/>
    <w:rsid w:val="001E5BB8"/>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1E5BB8"/>
    <w:rPr>
      <w:rFonts w:ascii="Arial" w:eastAsia="Times New Roman" w:hAnsi="Arial" w:cs="Times New Roman"/>
      <w:szCs w:val="24"/>
      <w:lang w:eastAsia="sk-SK"/>
    </w:rPr>
  </w:style>
  <w:style w:type="paragraph" w:styleId="Textpoznmkypodiarou">
    <w:name w:val="footnote text"/>
    <w:basedOn w:val="Normlny"/>
    <w:link w:val="TextpoznmkypodiarouChar"/>
    <w:uiPriority w:val="99"/>
    <w:semiHidden/>
    <w:unhideWhenUsed/>
    <w:rsid w:val="001E5BB8"/>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1E5BB8"/>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1E5BB8"/>
    <w:rPr>
      <w:rFonts w:cs="Times New Roman"/>
      <w:vertAlign w:val="superscript"/>
    </w:rPr>
  </w:style>
  <w:style w:type="character" w:customStyle="1" w:styleId="Nadpis3Char">
    <w:name w:val="Nadpis 3 Char"/>
    <w:basedOn w:val="Predvolenpsmoodseku"/>
    <w:link w:val="Nadpis3"/>
    <w:uiPriority w:val="9"/>
    <w:semiHidden/>
    <w:rsid w:val="001E5BB8"/>
    <w:rPr>
      <w:rFonts w:asciiTheme="majorHAnsi" w:eastAsiaTheme="majorEastAsia" w:hAnsiTheme="majorHAnsi" w:cstheme="majorBidi"/>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3539</Words>
  <Characters>20177</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1</cp:revision>
  <dcterms:created xsi:type="dcterms:W3CDTF">2020-10-05T12:11:00Z</dcterms:created>
  <dcterms:modified xsi:type="dcterms:W3CDTF">2020-10-05T12:12:00Z</dcterms:modified>
</cp:coreProperties>
</file>